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bookmarkStart w:id="243" w:name="_GoBack"/>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25"/>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58"/>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39992302"/>
      <w:bookmarkStart w:id="7" w:name="_Toc123701384"/>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r>
        <w:rPr>
          <w:rStyle w:val="27"/>
          <w:rFonts w:hint="eastAsia" w:ascii="宋体" w:hAnsi="宋体"/>
          <w:sz w:val="28"/>
          <w:szCs w:val="28"/>
        </w:rPr>
        <w:t>【2022】年【</w:t>
      </w:r>
      <w:r>
        <w:rPr>
          <w:rStyle w:val="27"/>
          <w:rFonts w:ascii="宋体" w:hAnsi="宋体"/>
          <w:sz w:val="28"/>
          <w:szCs w:val="28"/>
        </w:rPr>
        <w:t>8</w:t>
      </w:r>
      <w:r>
        <w:rPr>
          <w:rStyle w:val="27"/>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21"/>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兴业银行天天万利宝稳利1号净值型理财产品F款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Z7002020000010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【9K218016】</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9K218016</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29"/>
              <w:rFonts w:hint="eastAsia"/>
            </w:rPr>
            <w:t>第一条</w:t>
          </w:r>
          <w:r>
            <w:rPr>
              <w:rStyle w:val="29"/>
            </w:rPr>
            <w:t xml:space="preserve">  </w:t>
          </w:r>
          <w:r>
            <w:rPr>
              <w:rStyle w:val="29"/>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29"/>
              <w:rFonts w:hint="eastAsia"/>
            </w:rPr>
            <w:t>第二条</w:t>
          </w:r>
          <w:r>
            <w:rPr>
              <w:rStyle w:val="29"/>
            </w:rPr>
            <w:t xml:space="preserve">  </w:t>
          </w:r>
          <w:r>
            <w:rPr>
              <w:rStyle w:val="29"/>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29"/>
              <w:rFonts w:hint="eastAsia"/>
            </w:rPr>
            <w:t>第三条</w:t>
          </w:r>
          <w:r>
            <w:rPr>
              <w:rStyle w:val="29"/>
            </w:rPr>
            <w:t xml:space="preserve">  </w:t>
          </w:r>
          <w:r>
            <w:rPr>
              <w:rStyle w:val="29"/>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29"/>
              <w:rFonts w:hint="eastAsia"/>
            </w:rPr>
            <w:t>第四条</w:t>
          </w:r>
          <w:r>
            <w:rPr>
              <w:rStyle w:val="29"/>
            </w:rPr>
            <w:t xml:space="preserve">  </w:t>
          </w:r>
          <w:r>
            <w:rPr>
              <w:rStyle w:val="29"/>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29"/>
              <w:rFonts w:hint="eastAsia"/>
            </w:rPr>
            <w:t>第五条</w:t>
          </w:r>
          <w:r>
            <w:rPr>
              <w:rStyle w:val="29"/>
            </w:rPr>
            <w:t xml:space="preserve">  </w:t>
          </w:r>
          <w:r>
            <w:rPr>
              <w:rStyle w:val="29"/>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29"/>
              <w:rFonts w:hint="eastAsia"/>
            </w:rPr>
            <w:t>第六条</w:t>
          </w:r>
          <w:r>
            <w:rPr>
              <w:rStyle w:val="29"/>
            </w:rPr>
            <w:t xml:space="preserve">  </w:t>
          </w:r>
          <w:r>
            <w:rPr>
              <w:rStyle w:val="29"/>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29"/>
              <w:rFonts w:hint="eastAsia"/>
            </w:rPr>
            <w:t>第七条</w:t>
          </w:r>
          <w:r>
            <w:rPr>
              <w:rStyle w:val="29"/>
            </w:rPr>
            <w:t xml:space="preserve">  </w:t>
          </w:r>
          <w:r>
            <w:rPr>
              <w:rStyle w:val="29"/>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41703880"/>
      <w:bookmarkStart w:id="15" w:name="_Toc123701389"/>
      <w:bookmarkStart w:id="16" w:name="_Toc26897"/>
      <w:bookmarkStart w:id="17" w:name="_Toc15517"/>
      <w:bookmarkStart w:id="18" w:name="_Toc30935"/>
      <w:bookmarkStart w:id="19" w:name="_Toc123112268"/>
      <w:bookmarkStart w:id="20" w:name="_Toc23386"/>
      <w:bookmarkStart w:id="21" w:name="_Toc8727"/>
      <w:bookmarkStart w:id="22" w:name="_Toc4867"/>
      <w:bookmarkStart w:id="23" w:name="_Toc6306"/>
      <w:bookmarkStart w:id="24" w:name="_Toc123112229"/>
      <w:bookmarkStart w:id="25" w:name="_Toc139991730"/>
      <w:bookmarkStart w:id="26" w:name="_Toc29629"/>
      <w:bookmarkStart w:id="27" w:name="_Toc4966"/>
      <w:bookmarkStart w:id="28" w:name="_Toc32639"/>
      <w:bookmarkStart w:id="29" w:name="_Toc88482730"/>
      <w:bookmarkStart w:id="30" w:name="_Toc95897036"/>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2465"/>
      <w:bookmarkStart w:id="34" w:name="_Toc15067"/>
      <w:bookmarkStart w:id="35" w:name="_Toc258829399"/>
      <w:bookmarkStart w:id="36" w:name="_Toc24860"/>
      <w:bookmarkStart w:id="37" w:name="_Toc6617"/>
      <w:bookmarkStart w:id="38" w:name="_Toc21301"/>
      <w:bookmarkStart w:id="39" w:name="_Toc819"/>
      <w:bookmarkStart w:id="40" w:name="_Toc19592"/>
      <w:bookmarkStart w:id="41" w:name="_Toc13020"/>
      <w:bookmarkStart w:id="42" w:name="_Toc22864"/>
      <w:bookmarkStart w:id="43" w:name="_Toc3224"/>
      <w:r>
        <w:rPr>
          <w:rFonts w:hint="eastAsia" w:ascii="Times New Roman"/>
          <w:color w:val="auto"/>
          <w:sz w:val="30"/>
        </w:rPr>
        <w:t>前言</w:t>
      </w:r>
      <w:bookmarkEnd w:id="29"/>
      <w:bookmarkEnd w:id="30"/>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43"/>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95897038"/>
      <w:bookmarkStart w:id="49" w:name="_Toc88482732"/>
      <w:bookmarkStart w:id="50" w:name="_Toc733"/>
      <w:bookmarkStart w:id="51" w:name="_Toc20318"/>
      <w:bookmarkStart w:id="52" w:name="_Toc6683"/>
      <w:bookmarkStart w:id="53" w:name="_Toc18631"/>
      <w:bookmarkStart w:id="54" w:name="_Toc6149"/>
      <w:bookmarkStart w:id="55" w:name="_Toc20627"/>
      <w:bookmarkStart w:id="56" w:name="_Toc74065740"/>
      <w:bookmarkStart w:id="57" w:name="_Toc22708"/>
      <w:bookmarkStart w:id="58" w:name="_Toc24571"/>
      <w:bookmarkStart w:id="59" w:name="_Toc13288"/>
      <w:bookmarkStart w:id="60" w:name="_Toc545"/>
      <w:bookmarkStart w:id="61" w:name="_Toc258829400"/>
      <w:bookmarkStart w:id="62" w:name="_Toc233456272"/>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88482733"/>
      <w:bookmarkStart w:id="64" w:name="_Toc95897039"/>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88482734"/>
      <w:bookmarkStart w:id="66" w:name="_Toc95897040"/>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pPr>
        <w:adjustRightInd w:val="0"/>
        <w:spacing w:line="360" w:lineRule="auto"/>
        <w:ind w:firstLine="360" w:firstLineChars="20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hint="eastAsia" w:ascii="黑体" w:hAnsi="黑体" w:eastAsia="黑体"/>
          <w:color w:val="000000" w:themeColor="text1"/>
          <w:sz w:val="18"/>
          <w:szCs w:val="18"/>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rPr>
      </w:pPr>
      <w:r>
        <w:rPr>
          <w:rFonts w:ascii="黑体" w:hAnsi="黑体" w:eastAsia="黑体"/>
          <w:color w:val="000000" w:themeColor="text1"/>
          <w:sz w:val="18"/>
          <w:szCs w:val="18"/>
        </w:rPr>
        <w:br w:type="page"/>
      </w:r>
    </w:p>
    <w:p>
      <w:pPr>
        <w:pStyle w:val="2"/>
        <w:spacing w:before="0" w:after="0"/>
        <w:jc w:val="center"/>
        <w:rPr>
          <w:rFonts w:ascii="Times New Roman"/>
          <w:b w:val="0"/>
          <w:sz w:val="30"/>
        </w:rPr>
      </w:pPr>
      <w:bookmarkStart w:id="67" w:name="_Toc88482735"/>
      <w:bookmarkStart w:id="68" w:name="_Toc95897041"/>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88482736"/>
      <w:bookmarkStart w:id="70" w:name="_Toc9589704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5" w:type="default"/>
          <w:footerReference r:id="rId6" w:type="default"/>
          <w:pgSz w:w="11906" w:h="16838"/>
          <w:pgMar w:top="1440" w:right="1800" w:bottom="1440" w:left="1800" w:header="567" w:footer="992"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8255" b="13335"/>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8</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43"/>
        <w:spacing w:line="360" w:lineRule="auto"/>
        <w:rPr>
          <w:rFonts w:hAnsi="宋体"/>
          <w:sz w:val="28"/>
          <w:szCs w:val="28"/>
        </w:rPr>
        <w:sectPr>
          <w:footerReference r:id="rId9" w:type="first"/>
          <w:headerReference r:id="rId7" w:type="default"/>
          <w:footerReference r:id="rId8"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70"/>
            <w:spacing w:line="360" w:lineRule="auto"/>
            <w:jc w:val="center"/>
          </w:pPr>
          <w:bookmarkStart w:id="73" w:name="_Toc78276587"/>
          <w:r>
            <w:rPr>
              <w:lang w:val="zh-CN"/>
            </w:rPr>
            <w:t>目录</w:t>
          </w:r>
        </w:p>
        <w:p>
          <w:pPr>
            <w:pStyle w:val="16"/>
            <w:tabs>
              <w:tab w:val="right" w:leader="dot" w:pos="8306"/>
              <w:tab w:val="clear" w:pos="829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 w:val="clear" w:pos="829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 w:val="clear" w:pos="829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 w:val="clear" w:pos="829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 w:val="clear" w:pos="829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 w:val="clear" w:pos="829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 w:val="clear" w:pos="829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 w:val="clear" w:pos="829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 w:val="clear" w:pos="829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 w:val="clear" w:pos="829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10"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74" w:name="_Toc9482"/>
      <w:bookmarkStart w:id="75"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73"/>
      <w:bookmarkEnd w:id="74"/>
      <w:bookmarkEnd w:id="75"/>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43"/>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43"/>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43"/>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43"/>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43"/>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43"/>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43"/>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43"/>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43"/>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43"/>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76" w:name="_Toc92377131"/>
      <w:bookmarkStart w:id="77" w:name="_Toc79154665"/>
      <w:bookmarkStart w:id="78" w:name="_Toc23998"/>
      <w:r>
        <w:rPr>
          <w:rFonts w:hint="eastAsia" w:hAnsi="宋体"/>
          <w:sz w:val="28"/>
          <w:szCs w:val="28"/>
        </w:rPr>
        <w:t>第二条  理财产品基本情况</w:t>
      </w:r>
      <w:bookmarkEnd w:id="76"/>
      <w:bookmarkEnd w:id="77"/>
      <w:bookmarkEnd w:id="78"/>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兴业银行天天万利宝稳利1号净值型理财产品F款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Theme="minorEastAsia" w:hAnsiTheme="minorEastAsia" w:eastAsiaTheme="minorEastAsia" w:cstheme="minorEastAsia"/>
                <w:kern w:val="0"/>
                <w:sz w:val="22"/>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Theme="minorEastAsia" w:hAnsiTheme="minorEastAsia" w:eastAsiaTheme="minorEastAsia" w:cstheme="minorEastAsia"/>
                <w:b/>
                <w:sz w:val="18"/>
                <w:szCs w:val="18"/>
              </w:rPr>
            </w:pPr>
            <w:r>
              <w:rPr>
                <w:rFonts w:hint="eastAsia" w:ascii="宋体" w:hAnsi="宋体"/>
                <w:bCs/>
                <w:sz w:val="18"/>
                <w:szCs w:val="18"/>
              </w:rPr>
              <w:t>【</w:t>
            </w:r>
            <w:r>
              <w:rPr>
                <w:rFonts w:ascii="宋体" w:hAnsi="宋体"/>
                <w:bCs/>
                <w:sz w:val="18"/>
                <w:szCs w:val="18"/>
              </w:rPr>
              <w:t>Z7002020000010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Theme="minorEastAsia" w:hAnsiTheme="minorEastAsia" w:eastAsiaTheme="minorEastAsia" w:cstheme="minorEastAsia"/>
                <w:bCs/>
                <w:sz w:val="18"/>
                <w:szCs w:val="18"/>
              </w:rPr>
            </w:pPr>
            <w:r>
              <w:rPr>
                <w:rFonts w:ascii="宋体" w:hAnsi="宋体"/>
                <w:bCs/>
                <w:color w:val="000000" w:themeColor="text1"/>
                <w:sz w:val="18"/>
                <w:szCs w:val="18"/>
              </w:rPr>
              <w:t>【9K218016】</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asciiTheme="minorEastAsia" w:hAnsiTheme="minorEastAsia" w:eastAsiaTheme="minorEastAsia" w:cstheme="minorEastAsia"/>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9K218016</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规模为【25】亿元，最小成立规模为【/】亿元。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5</w:t>
            </w:r>
            <w:r>
              <w:rPr>
                <w:rFonts w:hint="eastAsia" w:cs="Times New Roman" w:asciiTheme="minorEastAsia" w:hAnsiTheme="minorEastAsia"/>
                <w:sz w:val="18"/>
                <w:szCs w:val="18"/>
              </w:rPr>
              <w:t>】日【11:00】</w:t>
            </w:r>
            <w:r>
              <w:rPr>
                <w:rFonts w:hint="eastAsia" w:cs="仿宋_GB2312" w:asciiTheme="minorEastAsia" w:hAnsiTheme="minorEastAsia"/>
                <w:sz w:val="18"/>
                <w:szCs w:val="18"/>
              </w:rPr>
              <w:t>至</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11</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12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正常情况下，本产品的一个投资周期为【12个月】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投资周期存在长于或短于【12个月】的可能，投资者具体投资周期以本产品说明书“申购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□预约申购期：【2022】年【08】月【31】日11:00至【2022】年【09】月【06】日15:45；投资周期【364】天；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□预约申购期：【2022】年【09】月【07】日11:00至【2022】年【09】月【13】日15:45；投资周期【357】天；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□预约申购期：【2022】年【09】月【14】日11:00至【2022】年【09】月【20】日15:45；投资周期【350】天；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□预约申购期：【2022】年【09】月【21】日11:00至【2022】年【09】月【27】日15:45；投资周期【343】天。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预约赎回期：【2023】年【08】月【23】日00:00至【2023】年【09】月【05】日15:45。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43"/>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43"/>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43"/>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43"/>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43"/>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43"/>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根据本产品各类资产的拟投资比例、资产信用利差、久期敞口以及流动性溢价，结合当前宏观环境和各类资产价格所处的位置，参考历史经验和回测结果。</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p>
          <w:p>
            <w:pPr>
              <w:spacing w:line="360" w:lineRule="auto"/>
              <w:jc w:val="left"/>
              <w:rPr>
                <w:rFonts w:asciiTheme="majorEastAsia" w:hAnsiTheme="majorEastAsia"/>
                <w:b/>
                <w:sz w:val="18"/>
              </w:rPr>
            </w:pP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w:t>
            </w:r>
          </w:p>
          <w:p>
            <w:pPr>
              <w:spacing w:line="360" w:lineRule="auto"/>
              <w:jc w:val="left"/>
              <w:rPr>
                <w:rFonts w:asciiTheme="majorEastAsia" w:hAnsiTheme="majorEastAsia" w:eastAsiaTheme="majorEastAsia"/>
                <w:b/>
                <w:bCs/>
                <w:sz w:val="18"/>
                <w:szCs w:val="18"/>
              </w:rPr>
            </w:pPr>
            <w:r>
              <w:rPr>
                <w:rFonts w:hint="eastAsia" w:ascii="宋体" w:hAnsi="宋体"/>
                <w:b/>
                <w:bCs/>
                <w:sz w:val="18"/>
                <w:szCs w:val="18"/>
              </w:rPr>
              <w:t>年化【3.</w:t>
            </w:r>
            <w:r>
              <w:rPr>
                <w:rFonts w:ascii="宋体" w:hAnsi="宋体"/>
                <w:b/>
                <w:bCs/>
                <w:sz w:val="18"/>
                <w:szCs w:val="18"/>
              </w:rPr>
              <w:t>30</w:t>
            </w:r>
            <w:r>
              <w:rPr>
                <w:rFonts w:hint="eastAsia" w:ascii="宋体" w:hAnsi="宋体"/>
                <w:b/>
                <w:bCs/>
                <w:sz w:val="18"/>
                <w:szCs w:val="18"/>
              </w:rPr>
              <w:t>-4.20%</w:t>
            </w:r>
            <w:r>
              <w:rPr>
                <w:rFonts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【0.20</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43"/>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9" w:name="_Toc92377132"/>
      <w:bookmarkStart w:id="80" w:name="_Toc15862"/>
      <w:bookmarkStart w:id="81" w:name="_Toc79154666"/>
      <w:r>
        <w:rPr>
          <w:rFonts w:ascii="Times New Roman"/>
          <w:sz w:val="30"/>
        </w:rPr>
        <w:t>第</w:t>
      </w:r>
      <w:r>
        <w:rPr>
          <w:rFonts w:hint="eastAsia" w:ascii="Times New Roman"/>
          <w:sz w:val="30"/>
        </w:rPr>
        <w:t>三条</w:t>
      </w:r>
      <w:r>
        <w:rPr>
          <w:rFonts w:ascii="Times New Roman"/>
          <w:sz w:val="30"/>
        </w:rPr>
        <w:t xml:space="preserve">  </w:t>
      </w:r>
      <w:bookmarkStart w:id="82" w:name="_Toc79392573"/>
      <w:r>
        <w:rPr>
          <w:rFonts w:hint="eastAsia" w:ascii="Times New Roman"/>
          <w:sz w:val="30"/>
        </w:rPr>
        <w:t>理财产品的认购</w:t>
      </w:r>
      <w:bookmarkEnd w:id="79"/>
      <w:bookmarkEnd w:id="80"/>
      <w:bookmarkEnd w:id="81"/>
    </w:p>
    <w:p>
      <w:pPr>
        <w:spacing w:line="360" w:lineRule="auto"/>
        <w:ind w:firstLine="361" w:firstLineChars="200"/>
        <w:rPr>
          <w:rFonts w:asciiTheme="minorEastAsia" w:hAnsiTheme="minorEastAsia"/>
          <w:b/>
          <w:bCs/>
          <w:sz w:val="18"/>
          <w:szCs w:val="18"/>
        </w:rPr>
      </w:pPr>
      <w:bookmarkStart w:id="83" w:name="_Hlt88031774"/>
      <w:bookmarkEnd w:id="83"/>
      <w:bookmarkStart w:id="8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85" w:name="_Toc79154667"/>
      <w:bookmarkStart w:id="86" w:name="_Toc92377133"/>
      <w:bookmarkStart w:id="87" w:name="_Toc28040"/>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85"/>
      <w:bookmarkEnd w:id="86"/>
      <w:bookmarkEnd w:id="87"/>
    </w:p>
    <w:bookmarkEnd w:id="84"/>
    <w:p>
      <w:pPr>
        <w:spacing w:line="360" w:lineRule="auto"/>
        <w:ind w:firstLine="420" w:firstLineChars="200"/>
      </w:pP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82"/>
    <w:p>
      <w:pPr>
        <w:pStyle w:val="2"/>
        <w:spacing w:before="0" w:after="0" w:line="360" w:lineRule="auto"/>
        <w:jc w:val="center"/>
        <w:rPr>
          <w:rFonts w:ascii="Times New Roman"/>
          <w:sz w:val="30"/>
        </w:rPr>
      </w:pPr>
      <w:bookmarkStart w:id="88" w:name="_Toc29784"/>
      <w:bookmarkStart w:id="89" w:name="_Toc27226"/>
      <w:bookmarkStart w:id="90" w:name="_Toc16265"/>
      <w:bookmarkStart w:id="91" w:name="_Toc79154668"/>
      <w:bookmarkStart w:id="92" w:name="_Toc27189"/>
      <w:bookmarkStart w:id="93" w:name="_Toc90742390"/>
      <w:bookmarkStart w:id="94" w:name="_Toc90742321"/>
      <w:bookmarkStart w:id="95" w:name="_Toc3266"/>
      <w:bookmarkStart w:id="96" w:name="_Toc92377134"/>
      <w:bookmarkStart w:id="97" w:name="_Toc6714"/>
      <w:bookmarkStart w:id="98" w:name="_Toc29948"/>
      <w:bookmarkStart w:id="99" w:name="_Toc74065741"/>
      <w:bookmarkStart w:id="100" w:name="_Toc24722"/>
      <w:bookmarkStart w:id="101" w:name="_Toc7151"/>
      <w:bookmarkStart w:id="102" w:name="_Toc90742688"/>
      <w:bookmarkStart w:id="103" w:name="_Toc15203"/>
      <w:bookmarkStart w:id="104" w:name="_Toc2207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43"/>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（4）国债期货、利率互换、信用风险缓释工具、债券借贷等；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（5）混合债券型二级基金、混合型基金以及</w:t>
      </w:r>
      <w:r>
        <w:rPr>
          <w:rFonts w:hint="eastAsia" w:asciiTheme="majorEastAsia" w:hAnsiTheme="majorEastAsia" w:eastAsiaTheme="majorEastAsia"/>
          <w:bCs/>
          <w:color w:val="000000" w:themeColor="text1"/>
          <w:sz w:val="18"/>
          <w:szCs w:val="18"/>
        </w:rPr>
        <w:t>通过信托公司、基金管理公司、证券公司、期货公司、保险公司及上述机构的子公司等国家法律法规允许的机构投资于权益类资产；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（6）投资于上述资产的符合监管要求的公募基金、基金公司或子公司资产管理计划、证券公司资产管理计划、保险资产管理计划及信托计划等；</w:t>
      </w:r>
    </w:p>
    <w:p>
      <w:pPr>
        <w:pStyle w:val="43"/>
        <w:spacing w:line="360" w:lineRule="auto"/>
        <w:ind w:firstLine="360" w:firstLineChars="200"/>
        <w:jc w:val="both"/>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（7）其他风险不高于前述资产的资产。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（1）本产品投资于固定收益类资产的比例不低于产品总资产的80%；投资于股票资产的比例合计不超过产品总资产的5%。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（2）国债期货、利率互换、债券借贷的合约价值占产品总资产比例不高于20%。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（3）非标准化债权类资产占产品总资产比例不高于50%。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43"/>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43"/>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105" w:name="_Toc7848"/>
      <w:bookmarkStart w:id="106" w:name="_Toc21988"/>
      <w:bookmarkStart w:id="107" w:name="_Toc92377135"/>
      <w:bookmarkStart w:id="108" w:name="_Toc26986"/>
      <w:bookmarkStart w:id="109" w:name="_Toc18526"/>
      <w:bookmarkStart w:id="110" w:name="_Toc17912"/>
      <w:bookmarkStart w:id="111" w:name="_Toc139991735"/>
      <w:bookmarkStart w:id="112" w:name="_Toc141703885"/>
      <w:bookmarkStart w:id="113" w:name="_Toc1823"/>
      <w:bookmarkStart w:id="114" w:name="_Toc18797"/>
      <w:bookmarkStart w:id="115" w:name="_Toc74065742"/>
      <w:bookmarkStart w:id="116" w:name="_Toc27357"/>
      <w:bookmarkStart w:id="117" w:name="_Toc14893"/>
      <w:bookmarkStart w:id="118" w:name="_Toc4741"/>
      <w:bookmarkStart w:id="119" w:name="_Toc18329"/>
      <w:bookmarkStart w:id="120" w:name="_Toc79154669"/>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3"/>
        <w:spacing w:line="360" w:lineRule="auto"/>
        <w:ind w:firstLine="361" w:firstLineChars="200"/>
        <w:rPr>
          <w:rFonts w:asciiTheme="majorEastAsia" w:hAnsiTheme="majorEastAsia" w:eastAsiaTheme="majorEastAsia"/>
          <w:b/>
          <w:color w:val="auto"/>
          <w:sz w:val="18"/>
          <w:szCs w:val="18"/>
        </w:rPr>
      </w:pPr>
      <w:bookmarkStart w:id="121" w:name="_Hlk490214295"/>
      <w:r>
        <w:rPr>
          <w:rFonts w:hint="eastAsia" w:asciiTheme="majorEastAsia" w:hAnsiTheme="majorEastAsia" w:eastAsiaTheme="majorEastAsia"/>
          <w:b/>
          <w:color w:val="auto"/>
          <w:sz w:val="18"/>
          <w:szCs w:val="18"/>
        </w:rPr>
        <w:t>（一）理财产品的资产的保管和处分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21"/>
    <w:p>
      <w:pPr>
        <w:pStyle w:val="2"/>
        <w:spacing w:before="0" w:after="0" w:line="360" w:lineRule="auto"/>
        <w:jc w:val="center"/>
        <w:rPr>
          <w:rFonts w:ascii="Times New Roman"/>
          <w:sz w:val="28"/>
          <w:szCs w:val="28"/>
        </w:rPr>
      </w:pPr>
      <w:bookmarkStart w:id="122" w:name="_Toc83391971"/>
      <w:bookmarkStart w:id="123" w:name="_Toc10162"/>
      <w:bookmarkStart w:id="124" w:name="_Toc92377136"/>
      <w:bookmarkStart w:id="125" w:name="_Toc610"/>
      <w:bookmarkStart w:id="126" w:name="_Toc23822"/>
      <w:bookmarkStart w:id="127" w:name="_Toc79154670"/>
      <w:bookmarkStart w:id="128" w:name="_Toc123112234"/>
      <w:bookmarkStart w:id="129" w:name="_Toc98560352"/>
      <w:bookmarkStart w:id="130" w:name="_Toc139991736"/>
      <w:bookmarkStart w:id="131" w:name="_Toc123051452"/>
      <w:bookmarkStart w:id="132" w:name="_Toc1427"/>
      <w:bookmarkStart w:id="133" w:name="_Toc1270"/>
      <w:bookmarkStart w:id="134" w:name="_Toc141703886"/>
      <w:bookmarkStart w:id="135" w:name="_Toc7920"/>
      <w:bookmarkStart w:id="136" w:name="_Toc4003"/>
      <w:bookmarkStart w:id="137" w:name="_Toc123102453"/>
      <w:bookmarkStart w:id="138" w:name="_Toc23261"/>
      <w:bookmarkStart w:id="139" w:name="_Toc17244"/>
      <w:bookmarkStart w:id="140" w:name="_Toc10463"/>
      <w:bookmarkStart w:id="141" w:name="_Toc48649707"/>
      <w:bookmarkStart w:id="142" w:name="_Toc79392606"/>
      <w:bookmarkStart w:id="143" w:name="_Toc20733"/>
      <w:bookmarkStart w:id="144" w:name="_Toc7406574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22"/>
      <w:bookmarkEnd w:id="123"/>
      <w:bookmarkEnd w:id="124"/>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43"/>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43"/>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43"/>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43"/>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43"/>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43"/>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Pr>
        <w:pStyle w:val="2"/>
        <w:spacing w:before="0" w:after="0" w:line="360" w:lineRule="auto"/>
        <w:ind w:left="60" w:firstLine="10"/>
        <w:jc w:val="center"/>
        <w:rPr>
          <w:rFonts w:ascii="Times New Roman"/>
          <w:sz w:val="30"/>
        </w:rPr>
      </w:pPr>
      <w:bookmarkStart w:id="145" w:name="_Hlt70481650"/>
      <w:bookmarkEnd w:id="145"/>
      <w:bookmarkStart w:id="146" w:name="_Toc14835"/>
      <w:bookmarkStart w:id="147" w:name="_Toc123051453"/>
      <w:bookmarkStart w:id="148" w:name="_Toc15143"/>
      <w:bookmarkStart w:id="149" w:name="_Toc26207"/>
      <w:bookmarkStart w:id="150" w:name="_Toc31644"/>
      <w:bookmarkStart w:id="151" w:name="_Toc92377137"/>
      <w:bookmarkStart w:id="152" w:name="_Toc79154671"/>
      <w:bookmarkStart w:id="153" w:name="_Toc98560353"/>
      <w:bookmarkStart w:id="154" w:name="_Toc141703887"/>
      <w:bookmarkStart w:id="155" w:name="_Toc3601"/>
      <w:bookmarkStart w:id="156" w:name="_Toc123112235"/>
      <w:bookmarkStart w:id="157" w:name="_Toc6405"/>
      <w:bookmarkStart w:id="158" w:name="_Toc31653"/>
      <w:bookmarkStart w:id="159" w:name="_Toc31235"/>
      <w:bookmarkStart w:id="160" w:name="_Toc3138"/>
      <w:bookmarkStart w:id="161" w:name="_Toc29251"/>
      <w:bookmarkStart w:id="162" w:name="_Toc12245"/>
      <w:bookmarkStart w:id="163" w:name="_Toc139991737"/>
      <w:bookmarkStart w:id="164" w:name="_Toc123102454"/>
      <w:bookmarkStart w:id="165" w:name="_Toc7406574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Hlt55355235"/>
      <w:bookmarkEnd w:id="166"/>
      <w:bookmarkStart w:id="167" w:name="_Toc523711668"/>
      <w:bookmarkStart w:id="168" w:name="_Toc15118234"/>
      <w:bookmarkStart w:id="169" w:name="_Toc79392580"/>
      <w:bookmarkStart w:id="170" w:name="_Toc57530239"/>
    </w:p>
    <w:p>
      <w:pPr>
        <w:pStyle w:val="43"/>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43"/>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43"/>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43"/>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43"/>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43"/>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43"/>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43"/>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43"/>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43"/>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167"/>
    <w:bookmarkEnd w:id="168"/>
    <w:bookmarkEnd w:id="169"/>
    <w:bookmarkEnd w:id="170"/>
    <w:p>
      <w:pPr>
        <w:pStyle w:val="2"/>
        <w:spacing w:before="0" w:after="0" w:line="360" w:lineRule="auto"/>
        <w:jc w:val="center"/>
        <w:rPr>
          <w:rFonts w:ascii="Times New Roman"/>
          <w:sz w:val="30"/>
        </w:rPr>
      </w:pPr>
      <w:bookmarkStart w:id="171" w:name="_Hlt88897298"/>
      <w:bookmarkEnd w:id="171"/>
      <w:bookmarkStart w:id="172" w:name="_Hlt88825574"/>
      <w:bookmarkEnd w:id="172"/>
      <w:bookmarkStart w:id="173" w:name="_Toc92377138"/>
      <w:bookmarkStart w:id="174" w:name="_Toc17110"/>
      <w:bookmarkStart w:id="175" w:name="_Toc3771"/>
      <w:bookmarkStart w:id="176" w:name="_Toc74065745"/>
      <w:bookmarkStart w:id="177" w:name="_Toc3321"/>
      <w:bookmarkStart w:id="178" w:name="_Toc4559"/>
      <w:bookmarkStart w:id="179" w:name="_Toc79392583"/>
      <w:bookmarkStart w:id="180" w:name="_Toc123112236"/>
      <w:bookmarkStart w:id="181" w:name="_Toc123051454"/>
      <w:bookmarkStart w:id="182" w:name="_Toc18567"/>
      <w:bookmarkStart w:id="183" w:name="_Toc98560354"/>
      <w:bookmarkStart w:id="184" w:name="_Toc11030"/>
      <w:bookmarkStart w:id="185" w:name="_Toc6447"/>
      <w:bookmarkStart w:id="186" w:name="_Toc123102455"/>
      <w:bookmarkStart w:id="187" w:name="_Toc79154672"/>
      <w:bookmarkStart w:id="188" w:name="_Toc25783"/>
      <w:bookmarkStart w:id="189" w:name="_Toc141703888"/>
      <w:bookmarkStart w:id="190" w:name="_Toc9706"/>
      <w:bookmarkStart w:id="191" w:name="_Toc139991738"/>
      <w:bookmarkStart w:id="192" w:name="_Toc7058"/>
      <w:bookmarkStart w:id="193" w:name="_Toc10650"/>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43"/>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43"/>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43"/>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43"/>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94" w:name="_Toc1745"/>
      <w:bookmarkStart w:id="195" w:name="_Toc3963"/>
      <w:r>
        <w:br w:type="page"/>
      </w:r>
      <w:bookmarkStart w:id="196" w:name="_Toc92377139"/>
      <w:bookmarkStart w:id="197" w:name="_Toc31821"/>
      <w:bookmarkStart w:id="198" w:name="_Toc3080"/>
      <w:bookmarkStart w:id="199" w:name="_Toc74065746"/>
      <w:bookmarkStart w:id="200" w:name="_Toc18206"/>
      <w:bookmarkStart w:id="201" w:name="_Toc141703889"/>
      <w:bookmarkStart w:id="202" w:name="_Toc16164"/>
      <w:bookmarkStart w:id="203" w:name="_Toc3572"/>
      <w:bookmarkStart w:id="204" w:name="_Toc98560355"/>
      <w:bookmarkStart w:id="205" w:name="_Toc123102456"/>
      <w:bookmarkStart w:id="206" w:name="_Toc4606"/>
      <w:bookmarkStart w:id="207" w:name="_Toc123112237"/>
      <w:bookmarkStart w:id="208" w:name="_Toc10398"/>
      <w:bookmarkStart w:id="209" w:name="_Toc139991739"/>
      <w:bookmarkStart w:id="210" w:name="_Toc725"/>
      <w:bookmarkStart w:id="211" w:name="_Toc79154673"/>
      <w:bookmarkStart w:id="212" w:name="_Toc123051455"/>
      <w:bookmarkStart w:id="213" w:name="_Toc21735"/>
      <w:r>
        <w:rPr>
          <w:rFonts w:hint="eastAsia"/>
          <w:sz w:val="30"/>
        </w:rPr>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spacing w:line="360" w:lineRule="auto"/>
        <w:ind w:firstLine="361" w:firstLineChars="200"/>
        <w:rPr>
          <w:rFonts w:asciiTheme="majorEastAsia" w:hAnsiTheme="majorEastAsia" w:eastAsiaTheme="majorEastAsia"/>
          <w:b/>
          <w:bCs/>
          <w:sz w:val="18"/>
          <w:szCs w:val="18"/>
        </w:rPr>
      </w:pPr>
      <w:bookmarkStart w:id="214" w:name="_Toc79392593"/>
      <w:bookmarkStart w:id="215" w:name="_Toc15118245"/>
      <w:bookmarkStart w:id="216"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pPr>
        <w:pStyle w:val="2"/>
        <w:spacing w:before="0" w:after="0" w:line="360" w:lineRule="auto"/>
        <w:jc w:val="center"/>
        <w:rPr>
          <w:rFonts w:ascii="Times New Roman"/>
          <w:sz w:val="18"/>
          <w:szCs w:val="18"/>
        </w:rPr>
      </w:pPr>
      <w:r>
        <w:rPr>
          <w:rFonts w:ascii="Times New Roman"/>
          <w:b w:val="0"/>
          <w:bCs w:val="0"/>
          <w:kern w:val="2"/>
        </w:rPr>
        <w:br w:type="page"/>
      </w:r>
      <w:bookmarkStart w:id="217" w:name="_Toc92377140"/>
      <w:bookmarkStart w:id="218" w:name="_Toc11469"/>
      <w:bookmarkStart w:id="219" w:name="_Toc74065747"/>
      <w:bookmarkStart w:id="220" w:name="_Toc8791"/>
      <w:bookmarkStart w:id="221" w:name="_Toc79154674"/>
      <w:bookmarkStart w:id="222" w:name="_Toc98560356"/>
      <w:bookmarkStart w:id="223" w:name="_Toc83391975"/>
      <w:bookmarkStart w:id="224" w:name="_Toc17920"/>
      <w:bookmarkStart w:id="225" w:name="_Toc48649708"/>
      <w:bookmarkStart w:id="226" w:name="_Toc32092"/>
      <w:bookmarkStart w:id="227" w:name="_Toc123112238"/>
      <w:bookmarkStart w:id="228" w:name="_Toc141703890"/>
      <w:bookmarkStart w:id="229" w:name="_Toc21237"/>
      <w:bookmarkStart w:id="230" w:name="_Toc32584"/>
      <w:bookmarkStart w:id="231" w:name="_Toc5170"/>
      <w:bookmarkStart w:id="232" w:name="_Toc123051456"/>
      <w:bookmarkStart w:id="233" w:name="_Toc739"/>
      <w:bookmarkStart w:id="234" w:name="_Toc3329"/>
      <w:bookmarkStart w:id="235" w:name="_Toc29408"/>
      <w:bookmarkStart w:id="236" w:name="_Toc17198"/>
      <w:bookmarkStart w:id="237" w:name="_Toc139991740"/>
      <w:bookmarkStart w:id="238" w:name="_Toc79392622"/>
      <w:bookmarkStart w:id="239" w:name="_Toc12310245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7"/>
      <w:bookmarkEnd w:id="21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pPr>
        <w:pStyle w:val="2"/>
        <w:spacing w:before="0" w:after="0" w:line="360" w:lineRule="auto"/>
        <w:jc w:val="center"/>
        <w:rPr>
          <w:rFonts w:ascii="Times New Roman"/>
          <w:b w:val="0"/>
          <w:sz w:val="30"/>
        </w:rPr>
      </w:pPr>
      <w:bookmarkStart w:id="240" w:name="_Toc24766"/>
      <w:bookmarkStart w:id="241" w:name="_Toc79154675"/>
      <w:bookmarkStart w:id="242"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40"/>
      <w:bookmarkEnd w:id="241"/>
      <w:bookmarkEnd w:id="242"/>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黑体" w:hAnsi="黑体" w:eastAsia="黑体"/>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r>
        <w:rPr>
          <w:rFonts w:hint="eastAsia" w:ascii="黑体" w:hAnsi="黑体" w:eastAsia="黑体"/>
          <w:sz w:val="18"/>
          <w:szCs w:val="18"/>
        </w:rPr>
        <w:t xml:space="preserve"> </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43"/>
        <w:spacing w:line="360" w:lineRule="auto"/>
        <w:rPr>
          <w:rFonts w:hAnsi="宋体"/>
          <w:sz w:val="18"/>
          <w:szCs w:val="18"/>
        </w:rPr>
      </w:pPr>
    </w:p>
    <w:p>
      <w:pPr>
        <w:spacing w:line="360" w:lineRule="auto"/>
        <w:jc w:val="left"/>
        <w:rPr>
          <w:rFonts w:hint="eastAsia" w:ascii="宋体" w:hAnsi="宋体"/>
          <w:b/>
          <w:sz w:val="18"/>
          <w:szCs w:val="18"/>
        </w:rPr>
        <w:sectPr>
          <w:headerReference r:id="rId11" w:type="default"/>
          <w:footerReference r:id="rId12"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24"/>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1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43"/>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1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1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 xml:space="preserve">【 </w:t>
      </w:r>
      <w:r>
        <w:rPr>
          <w:rFonts w:ascii="宋体" w:hAnsi="宋体" w:cs="仿宋_GB2312"/>
          <w:kern w:val="0"/>
          <w:sz w:val="18"/>
          <w:szCs w:val="18"/>
        </w:rPr>
        <w:t xml:space="preserve">                                   </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 xml:space="preserve">等级：【 </w:t>
      </w:r>
      <w:r>
        <w:rPr>
          <w:rFonts w:ascii="宋体" w:hAnsi="宋体" w:cs="仿宋_GB2312"/>
          <w:kern w:val="0"/>
          <w:sz w:val="18"/>
          <w:szCs w:val="18"/>
        </w:rPr>
        <w:t xml:space="preserve">                                </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4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p>
      <w:pPr>
        <w:spacing w:line="360" w:lineRule="auto"/>
        <w:jc w:val="left"/>
        <w:rPr>
          <w:rFonts w:hint="eastAsia" w:ascii="宋体" w:hAnsi="宋体"/>
          <w:b/>
          <w:sz w:val="18"/>
          <w:szCs w:val="18"/>
        </w:rPr>
        <w:sectPr>
          <w:headerReference r:id="rId13" w:type="default"/>
          <w:footerReference r:id="rId14" w:type="default"/>
          <w:pgSz w:w="11906" w:h="16838"/>
          <w:pgMar w:top="1440" w:right="1800" w:bottom="1440" w:left="1800" w:header="851" w:footer="992" w:gutter="0"/>
          <w:cols w:space="425" w:num="1"/>
          <w:docGrid w:type="lines" w:linePitch="312" w:charSpace="0"/>
        </w:sectPr>
      </w:pP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【兴业银行天天万利宝稳利1号净值型理财产品</w:t>
      </w:r>
      <w:r>
        <w:rPr>
          <w:rFonts w:ascii="宋体" w:hAnsi="宋体" w:cs="仿宋_GB2312"/>
          <w:kern w:val="0"/>
          <w:sz w:val="18"/>
          <w:szCs w:val="18"/>
        </w:rPr>
        <w:t>F</w:t>
      </w:r>
      <w:r>
        <w:rPr>
          <w:rFonts w:hint="eastAsia" w:ascii="宋体" w:hAnsi="宋体" w:cs="仿宋_GB2312"/>
          <w:kern w:val="0"/>
          <w:sz w:val="18"/>
          <w:szCs w:val="18"/>
        </w:rPr>
        <w:t>款】。</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rPr>
        <w:t>【稳利恒盈</w:t>
      </w:r>
      <w:r>
        <w:rPr>
          <w:rFonts w:ascii="宋体" w:hAnsi="宋体" w:cs="仿宋_GB2312"/>
          <w:kern w:val="0"/>
          <w:sz w:val="18"/>
          <w:szCs w:val="18"/>
        </w:rPr>
        <w:t>F</w:t>
      </w:r>
      <w:r>
        <w:rPr>
          <w:rFonts w:hint="eastAsia" w:ascii="宋体" w:hAnsi="宋体" w:cs="仿宋_GB2312"/>
          <w:kern w:val="0"/>
          <w:sz w:val="18"/>
          <w:szCs w:val="18"/>
        </w:rPr>
        <w:t xml:space="preserve"> 12个月】。</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cs="仿宋_GB2312"/>
          <w:kern w:val="0"/>
          <w:sz w:val="18"/>
          <w:szCs w:val="18"/>
        </w:rPr>
        <w:t>Z7002020000010</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58"/>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58"/>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58"/>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58"/>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58"/>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58"/>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hint="eastAsia" w:ascii="宋体" w:hAnsi="宋体"/>
          <w:sz w:val="18"/>
          <w:szCs w:val="18"/>
        </w:rPr>
        <w:t>1）投资股票类资产的风险</w:t>
      </w:r>
    </w:p>
    <w:p>
      <w:pPr>
        <w:pStyle w:val="58"/>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58"/>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58"/>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58"/>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58"/>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58"/>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58"/>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58"/>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58"/>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58"/>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58"/>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58"/>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58"/>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58"/>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58"/>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58"/>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58"/>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58"/>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58"/>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58"/>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25"/>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25"/>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25"/>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15" w:type="default"/>
          <w:footerReference r:id="rId16" w:type="default"/>
          <w:pgSz w:w="11906" w:h="16838"/>
          <w:pgMar w:top="1440" w:right="1800" w:bottom="1440" w:left="1800" w:header="851" w:footer="992" w:gutter="0"/>
          <w:cols w:space="425" w:num="1"/>
          <w:docGrid w:type="lines" w:linePitch="312" w:charSpace="0"/>
        </w:sectPr>
      </w:pP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风险评级</w:t>
            </w:r>
          </w:p>
        </w:tc>
        <w:tc>
          <w:tcPr>
            <w:tcW w:w="5311"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评级说明</w:t>
            </w:r>
          </w:p>
        </w:tc>
        <w:tc>
          <w:tcPr>
            <w:tcW w:w="1713"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安逸型（R1）</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本金风险低，产品投资目标不能实现的概率较低；或投资范围仅限于货币市场工具等风险极低的短期金融资产。</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谨慎型（R2）</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稳健型（R3）</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增长型（R4）</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进取型（R5）</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激进型（R6）</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理财产品的信息披露将通过兴业银行</w:t>
      </w:r>
      <w:r>
        <w:rPr>
          <w:rFonts w:asciiTheme="minorEastAsia" w:hAnsiTheme="minorEastAsia"/>
          <w:sz w:val="18"/>
          <w:szCs w:val="18"/>
        </w:rPr>
        <w:t>或</w:t>
      </w:r>
      <w:r>
        <w:rPr>
          <w:rFonts w:hint="eastAsia" w:asciiTheme="minorEastAsia" w:hAnsiTheme="minorEastAsia"/>
          <w:sz w:val="18"/>
          <w:szCs w:val="18"/>
        </w:rPr>
        <w:t>销售机构</w:t>
      </w:r>
      <w:r>
        <w:rPr>
          <w:rFonts w:hint="eastAsia" w:ascii="宋体" w:hAnsi="宋体"/>
          <w:bCs/>
          <w:sz w:val="18"/>
          <w:szCs w:val="18"/>
        </w:rPr>
        <w:t>的信息披露渠道（包括但不限于兴业</w:t>
      </w:r>
      <w:r>
        <w:rPr>
          <w:rFonts w:ascii="宋体" w:hAnsi="宋体"/>
          <w:bCs/>
          <w:sz w:val="18"/>
          <w:szCs w:val="18"/>
        </w:rPr>
        <w:t>银</w:t>
      </w:r>
      <w:r>
        <w:rPr>
          <w:rFonts w:hint="eastAsia" w:ascii="宋体" w:hAnsi="宋体"/>
          <w:bCs/>
          <w:sz w:val="18"/>
          <w:szCs w:val="18"/>
        </w:rPr>
        <w:t>行或销售机构的营业网点、门户网站、电子销售渠道等）进行。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信息披露条款</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ascii="宋体" w:hAnsi="宋体"/>
          <w:sz w:val="18"/>
          <w:szCs w:val="18"/>
        </w:rPr>
        <w:t>通过</w:t>
      </w:r>
      <w:r>
        <w:rPr>
          <w:rFonts w:hint="eastAsia" w:ascii="宋体" w:hAnsi="宋体"/>
          <w:sz w:val="18"/>
          <w:szCs w:val="18"/>
        </w:rPr>
        <w:t>兴业银行（作为销售机构）购</w:t>
      </w:r>
      <w:r>
        <w:rPr>
          <w:rFonts w:ascii="宋体" w:hAnsi="宋体"/>
          <w:sz w:val="18"/>
          <w:szCs w:val="18"/>
        </w:rPr>
        <w:t>买本产品的请联系兴业银行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jc w:val="left"/>
        <w:rPr>
          <w:rFonts w:ascii="仿宋_GB2312" w:eastAsia="仿宋_GB2312" w:cs="仿宋_GB2312"/>
          <w:color w:val="000000"/>
          <w:kern w:val="0"/>
          <w:sz w:val="24"/>
          <w:szCs w:val="24"/>
        </w:rPr>
      </w:pPr>
    </w:p>
    <w:p>
      <w:pPr>
        <w:autoSpaceDE w:val="0"/>
        <w:autoSpaceDN w:val="0"/>
        <w:adjustRightInd w:val="0"/>
        <w:jc w:val="left"/>
        <w:rPr>
          <w:rFonts w:ascii="仿宋_GB2312" w:eastAsia="仿宋_GB2312" w:cs="仿宋_GB2312"/>
          <w:color w:val="000000"/>
          <w:kern w:val="0"/>
          <w:sz w:val="24"/>
          <w:szCs w:val="24"/>
        </w:rPr>
      </w:pPr>
    </w:p>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兴银理财天天万利宝稳利</w:t>
      </w:r>
      <w:r>
        <w:rPr>
          <w:rStyle w:val="27"/>
          <w:rFonts w:hint="eastAsia" w:ascii="黑体" w:hAnsi="黑体" w:eastAsia="黑体"/>
          <w:sz w:val="28"/>
          <w:szCs w:val="28"/>
          <w:lang w:val="en-US" w:eastAsia="zh-CN"/>
        </w:rPr>
        <w:t>净值型</w:t>
      </w:r>
      <w:r>
        <w:rPr>
          <w:rStyle w:val="27"/>
          <w:rFonts w:hint="eastAsia" w:ascii="黑体" w:hAnsi="黑体" w:eastAsia="黑体"/>
          <w:sz w:val="28"/>
          <w:szCs w:val="28"/>
        </w:rPr>
        <w:t>理财产品</w:t>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 】以(□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投资者风险承受能力，机构投资者由低至高分为【C1至C5五个等级】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低风险理财产品。理财产品的总体风险很低，净值波动很小，理财投资本金遭受损失的可能性很低，且产品具有较高的流动性。</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较低风险理财产品。理财产品的总体风险较低，净值波动较小，理财投资本金遭受损失的可能性较低。</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中等风险理财产品。理财产品的总体风险适中，净值波动明显，产品本金出现损失的可能性不容忽视。</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较高风险理财产品。理财产品的总体风险较高，净值波动明显，产品本金出现损失的可能性较高。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高风险理财产品。理财产品的总体风险程度高，净值波动明显，产品本金出现重大损失的可能性高。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
      <w:pPr>
        <w:spacing w:line="360" w:lineRule="auto"/>
        <w:jc w:val="left"/>
        <w:rPr>
          <w:rFonts w:hint="eastAsia" w:ascii="宋体" w:hAnsi="宋体"/>
          <w:b/>
          <w:sz w:val="18"/>
          <w:szCs w:val="18"/>
        </w:rPr>
      </w:pPr>
    </w:p>
    <w:bookmarkEnd w:id="243"/>
    <w:sectPr>
      <w:headerReference r:id="rId17" w:type="default"/>
      <w:footerReference r:id="rId1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9</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9</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39</w:t>
        </w:r>
        <w:r>
          <w:fldChar w:fldCharType="end"/>
        </w:r>
      </w:p>
    </w:sdtContent>
  </w:sdt>
  <w:p>
    <w:pPr>
      <w:pStyle w:val="8"/>
      <w:jc w:val="both"/>
      <w:rPr>
        <w:rFonts w:ascii="黑体" w:hAnsi="黑体" w:eastAsia="黑体"/>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14"/>
          <w:jc w:val="center"/>
        </w:pPr>
        <w:r>
          <w:rPr>
            <w:rFonts w:hint="eastAsia"/>
          </w:rPr>
          <w:t>第</w:t>
        </w:r>
        <w:r>
          <w:fldChar w:fldCharType="begin"/>
        </w:r>
        <w:r>
          <w:instrText xml:space="preserve">PAGE   \* MERGEFORMAT</w:instrText>
        </w:r>
        <w:r>
          <w:fldChar w:fldCharType="separate"/>
        </w:r>
        <w:r>
          <w:rPr>
            <w:lang w:val="zh-CN"/>
          </w:rPr>
          <w:t>1</w:t>
        </w:r>
        <w: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1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1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投资者权益须知</w:t>
    </w:r>
  </w:p>
  <w:p>
    <w:pPr>
      <w:pStyle w:val="15"/>
      <w:pBdr>
        <w:bottom w:val="thickThinLargeGap" w:color="auto" w:sz="24" w:space="10"/>
      </w:pBdr>
      <w:tabs>
        <w:tab w:val="right" w:pos="8280"/>
      </w:tabs>
      <w:wordWrap w:val="0"/>
      <w:adjustRightInd w:val="0"/>
      <w:ind w:firstLine="181" w:firstLineChars="10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3F3A"/>
    <w:rsid w:val="00065143"/>
    <w:rsid w:val="00067077"/>
    <w:rsid w:val="00067E29"/>
    <w:rsid w:val="0007676B"/>
    <w:rsid w:val="00077B06"/>
    <w:rsid w:val="00081682"/>
    <w:rsid w:val="0008289A"/>
    <w:rsid w:val="00083216"/>
    <w:rsid w:val="00083712"/>
    <w:rsid w:val="000847AC"/>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21B"/>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38B6"/>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7CFD"/>
    <w:rsid w:val="00460B00"/>
    <w:rsid w:val="00467615"/>
    <w:rsid w:val="004727C4"/>
    <w:rsid w:val="00477E43"/>
    <w:rsid w:val="00481A9B"/>
    <w:rsid w:val="00483EB5"/>
    <w:rsid w:val="004875C3"/>
    <w:rsid w:val="004918BC"/>
    <w:rsid w:val="00493B96"/>
    <w:rsid w:val="004946EF"/>
    <w:rsid w:val="0049488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65A0"/>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04A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1266"/>
    <w:rsid w:val="00871450"/>
    <w:rsid w:val="008739A5"/>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773F"/>
    <w:rsid w:val="00A97F9F"/>
    <w:rsid w:val="00AA0BFE"/>
    <w:rsid w:val="00AA2082"/>
    <w:rsid w:val="00AA3283"/>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C711B"/>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46831"/>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55CF"/>
    <w:rsid w:val="00EE7357"/>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1387A6F"/>
    <w:rsid w:val="22096B58"/>
    <w:rsid w:val="2AFE161A"/>
    <w:rsid w:val="2CE1325D"/>
    <w:rsid w:val="2DD01BC7"/>
    <w:rsid w:val="314F5290"/>
    <w:rsid w:val="35C863A1"/>
    <w:rsid w:val="373B4A20"/>
    <w:rsid w:val="45F574B3"/>
    <w:rsid w:val="4665240D"/>
    <w:rsid w:val="4F9B33E8"/>
    <w:rsid w:val="526821FA"/>
    <w:rsid w:val="569015D2"/>
    <w:rsid w:val="5F2557D3"/>
    <w:rsid w:val="630F2F76"/>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5" w:themeColor="accent1" w:themeShade="BF"/>
      <w:sz w:val="32"/>
      <w:szCs w:val="32"/>
    </w:rPr>
  </w:style>
  <w:style w:type="paragraph" w:customStyle="1" w:styleId="68">
    <w:name w:val="修订2"/>
    <w:hidden/>
    <w:semiHidden/>
    <w:qFormat/>
    <w:uiPriority w:val="99"/>
    <w:rPr>
      <w:rFonts w:ascii="Times New Roman" w:hAnsi="Times New Roman" w:eastAsia="宋体" w:cs="Times New Roman"/>
      <w:kern w:val="2"/>
      <w:sz w:val="21"/>
      <w:lang w:val="en-US" w:eastAsia="zh-CN" w:bidi="ar-SA"/>
    </w:rPr>
  </w:style>
  <w:style w:type="paragraph" w:customStyle="1" w:styleId="69">
    <w:name w:val="修订3"/>
    <w:hidden/>
    <w:semiHidden/>
    <w:qFormat/>
    <w:uiPriority w:val="99"/>
    <w:rPr>
      <w:rFonts w:ascii="Times New Roman" w:hAnsi="Times New Roman" w:eastAsia="宋体" w:cs="Times New Roman"/>
      <w:kern w:val="2"/>
      <w:sz w:val="21"/>
      <w:lang w:val="en-US" w:eastAsia="zh-CN" w:bidi="ar-SA"/>
    </w:rPr>
  </w:style>
  <w:style w:type="paragraph" w:customStyle="1" w:styleId="7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1CE95-747D-4AB6-8CFA-5414AD7D3FE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1511</Words>
  <Characters>8617</Characters>
  <Lines>71</Lines>
  <Paragraphs>20</Paragraphs>
  <TotalTime>0</TotalTime>
  <ScaleCrop>false</ScaleCrop>
  <LinksUpToDate>false</LinksUpToDate>
  <CharactersWithSpaces>10108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admin</cp:lastModifiedBy>
  <cp:lastPrinted>2017-10-31T06:33:00Z</cp:lastPrinted>
  <dcterms:modified xsi:type="dcterms:W3CDTF">2022-08-29T06:00:57Z</dcterms:modified>
  <dc:title>___证券投资基金招募说明书1</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C166FDD168F74BAFB715BD6389AD620E</vt:lpwstr>
  </property>
</Properties>
</file>